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2" w:rsidRPr="009E643D" w:rsidRDefault="009E643D">
      <w:pPr>
        <w:rPr>
          <w:rFonts w:ascii="Times New Roman" w:hAnsi="Times New Roman" w:cs="Times New Roman"/>
          <w:b/>
          <w:sz w:val="28"/>
          <w:szCs w:val="28"/>
        </w:rPr>
      </w:pPr>
      <w:r w:rsidRPr="009E643D">
        <w:rPr>
          <w:rFonts w:ascii="Times New Roman" w:hAnsi="Times New Roman" w:cs="Times New Roman"/>
          <w:b/>
          <w:sz w:val="28"/>
          <w:szCs w:val="28"/>
        </w:rPr>
        <w:t>Poziomy recyklingu osiągn</w:t>
      </w:r>
      <w:r w:rsidR="00C77BC7">
        <w:rPr>
          <w:rFonts w:ascii="Times New Roman" w:hAnsi="Times New Roman" w:cs="Times New Roman"/>
          <w:b/>
          <w:sz w:val="28"/>
          <w:szCs w:val="28"/>
        </w:rPr>
        <w:t>ięte przez Gminę Łubianka w 2016</w:t>
      </w:r>
      <w:r w:rsidRPr="009E643D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9E643D" w:rsidRDefault="009E643D" w:rsidP="009E643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ograniczenia masy odpadów komunalnych ulegających biodegradacji:   0%</w:t>
      </w:r>
    </w:p>
    <w:p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recyklingu przygotowanie do ponownego użycia następujących frakcji odpadów komunalnych: papieru, szkła, metali, tworzyw sztucznych: 20,55  %</w:t>
      </w:r>
    </w:p>
    <w:p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recyklingu i przygotowania do ponownego użycia odpadów budowlanych i rozbiórkowych:  70,31 %</w:t>
      </w:r>
    </w:p>
    <w:p w:rsidR="00C77BC7" w:rsidRPr="00C77BC7" w:rsidRDefault="00C77BC7" w:rsidP="00C77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643D" w:rsidRPr="00C77BC7" w:rsidRDefault="009E64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43D" w:rsidRPr="00C7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3D"/>
    <w:rsid w:val="002837D2"/>
    <w:rsid w:val="009E643D"/>
    <w:rsid w:val="00C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2017-05-08T06:09:00Z</dcterms:created>
  <dcterms:modified xsi:type="dcterms:W3CDTF">2017-05-08T06:09:00Z</dcterms:modified>
</cp:coreProperties>
</file>